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F61F5">
      <w:pPr>
        <w:spacing w:line="6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○紀の川市広告事業実施基準</w:t>
      </w:r>
    </w:p>
    <w:p w:rsidR="00000000" w:rsidRDefault="001F61F5">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平成１９年２月１日</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基準は、紀の川市広告事業実施要綱（平成１９年１月２２日制定。以下「要綱」という。）第３条に規定する基準として定めるものであり、広告媒体への広告の可否は、この基準に基づき判断を行うものとする。</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（広告全般に関する基本的な考え方）</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広告事業は、社会的に信用度の高い情報でなければならないため、広告内容及び表現は、それにふさわしい信用性と信頼性を持てるものでなければならない。</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（広告媒体ごとの基準）</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この基準に規定するもののほか、</w:t>
      </w:r>
      <w:r>
        <w:rPr>
          <w:rFonts w:ascii="ＭＳ 明朝" w:eastAsia="ＭＳ 明朝" w:hAnsi="ＭＳ 明朝" w:cs="ＭＳ 明朝" w:hint="eastAsia"/>
          <w:color w:val="000000"/>
        </w:rPr>
        <w:t>広告媒体の性質に応じて、広告内容及びデザインに関する個別の基準が必要な場合は、別途基準を作成することができる。</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（規制業種又は事業者）</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次の各号に定める業種又は事業者の広告事業は行わない。なお、広告事業の実施中であっても、次の業種又は業者に該当するに至った場合も同様とする。</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風俗営業等の規制及び業務の適正化等に関する法律（昭和２３年法律第１２２号）で風俗営業と規定される業種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風俗営業類似の業種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消費者金融・高利貸し</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たばこ</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ギャンブルにかかるもの（宝くじにかか</w:t>
      </w:r>
      <w:r>
        <w:rPr>
          <w:rFonts w:ascii="ＭＳ 明朝" w:eastAsia="ＭＳ 明朝" w:hAnsi="ＭＳ 明朝" w:cs="ＭＳ 明朝" w:hint="eastAsia"/>
          <w:color w:val="000000"/>
        </w:rPr>
        <w:t>るものを除く。）</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法律の定めのない医療類似行為を行うもの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占い、運勢判断に関するもの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興信所・探偵事務所等</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民事再生法又は会社更生法による再生又は更生手続中の事業者</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市の指名停止措置を受けているもの又は指名停止に該当する行為を行ったもの、若しくは不利益処分（違法又は不適当な行為によるものである場合に限る。）を受けているもの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（１１）　市税を滞納しているもの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（１２）　規制対象となっていない業種においても、社会問題を起こしている業種や事業者</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（１３）　各種法令に違反し</w:t>
      </w:r>
      <w:r>
        <w:rPr>
          <w:rFonts w:ascii="ＭＳ 明朝" w:eastAsia="ＭＳ 明朝" w:hAnsi="ＭＳ 明朝" w:cs="ＭＳ 明朝" w:hint="eastAsia"/>
          <w:color w:val="000000"/>
        </w:rPr>
        <w:t>ているもの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（１４）　行政機関からの行政指導を受け、改善がなされていないもの</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（広告事業の基準）</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次の各号に定める広告事業は行わない。</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次のいずれかに該当するもの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ア　人権侵害、差別、名誉き損のおそれがあるもの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法律で禁止されている商品、無認可商品及び粗悪品などの不適切な商品又はサービスを提供するもの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他をひぼう、中傷又は排斥するもの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市の広告事業の円滑な運営に支障をきたすもの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公の選挙又は投票の事前運動に該当するもの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カ　宗教団体による布教推進を主目的とするもの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キ　非科学</w:t>
      </w:r>
      <w:r>
        <w:rPr>
          <w:rFonts w:ascii="ＭＳ 明朝" w:eastAsia="ＭＳ 明朝" w:hAnsi="ＭＳ 明朝" w:cs="ＭＳ 明朝" w:hint="eastAsia"/>
          <w:color w:val="000000"/>
        </w:rPr>
        <w:t>的又は迷信に類するもので、利用者を惑わせたり、不安を与えるおそれのあるもの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ク　社会的に不適切なもの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ケ　国内世論が大きく分かれているもの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消費者被害の未然予防及び拡大防止の観点から適切でないものとして、次のいずれかに該当するもの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誇大な表現（誇大広告）及び根拠のない表示や誤認を招くような表現</w:t>
      </w:r>
    </w:p>
    <w:p w:rsidR="00000000" w:rsidRDefault="001F61F5">
      <w:pPr>
        <w:spacing w:line="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（例：「世界一」「一番安い」等の掲載に際しては、根拠となる資料を要する。）</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射幸心を著しくあおる表現</w:t>
      </w:r>
    </w:p>
    <w:p w:rsidR="00000000" w:rsidRDefault="001F61F5">
      <w:pPr>
        <w:spacing w:line="6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（例：「これが最後のチャンス（今購入しないと次はないという意味）」等）</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人材募集広告については</w:t>
      </w:r>
      <w:r>
        <w:rPr>
          <w:rFonts w:ascii="ＭＳ 明朝" w:eastAsia="ＭＳ 明朝" w:hAnsi="ＭＳ 明朝" w:cs="ＭＳ 明朝" w:hint="eastAsia"/>
          <w:color w:val="000000"/>
        </w:rPr>
        <w:t>労働基準法等関係法令を遵守していないもの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虚偽の内容を表示するもの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法令等で認められていない業種・商法・商品</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カ　国家資格等に基づかない者が行う療法等</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キ　責任の所在が明確でないもの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ク　広告の内容が明確でないもの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ケ　国、地方公共団体、その他公共の機関が、広告主又はその商品やサービスなどを推奨、保証、指定等をしているかのような表現のもの</w:t>
      </w:r>
    </w:p>
    <w:p w:rsidR="00000000" w:rsidRDefault="001F61F5">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青少年保護及び健全育成の観点から適切でないものとして、次のいずれかに該当するもの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水着姿及び裸体姿等で広告内容に無関心で必然性のないもの。ただし出品作</w:t>
      </w:r>
      <w:r>
        <w:rPr>
          <w:rFonts w:ascii="ＭＳ 明朝" w:eastAsia="ＭＳ 明朝" w:hAnsi="ＭＳ 明朝" w:cs="ＭＳ 明朝" w:hint="eastAsia"/>
          <w:color w:val="000000"/>
        </w:rPr>
        <w:t>品の一例又は広告内容に関連する等、表示する必然性がある場合は、その都度適否を検討するものとする。</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暴力や犯罪を肯定し助長するような表現</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残酷な描写など、善良な風俗に反するような表現</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暴力又はわいせつ性を連想・想起させるもの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ギャンブル等を肯定するもの</w:t>
      </w:r>
    </w:p>
    <w:p w:rsidR="00000000" w:rsidRDefault="001F61F5">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カ　青少年の人体・精神・教育に有害なもの</w:t>
      </w:r>
    </w:p>
    <w:p w:rsidR="00000000" w:rsidRDefault="001F61F5">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ページに関する基準）</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第６条　</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ページへの広告に関しては、</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ページに掲載する広告だけでなく、当該広告がリンクしている</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ページの内容についてもこの基準を適用する。</w:t>
      </w:r>
    </w:p>
    <w:p w:rsidR="00000000" w:rsidRDefault="001F61F5">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他の</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w:t>
      </w:r>
      <w:r>
        <w:rPr>
          <w:rFonts w:ascii="ＭＳ 明朝" w:eastAsia="ＭＳ 明朝" w:hAnsi="ＭＳ 明朝" w:cs="ＭＳ 明朝" w:hint="eastAsia"/>
          <w:color w:val="000000"/>
        </w:rPr>
        <w:t>を集合し、情報提供することを主たる目的とする</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ページで要綱及びこの基準、その他市の定める広告に関する規定に反する内容を取り扱う</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ページを閲覧者に斡旋又は紹介している</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ページの広告は掲載しない。</w:t>
      </w:r>
    </w:p>
    <w:p w:rsidR="00000000" w:rsidRDefault="001F61F5">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1F61F5">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この基準は、平成１９年２月１日から施行する。</w:t>
      </w:r>
    </w:p>
    <w:p w:rsidR="00000000" w:rsidRDefault="001F61F5">
      <w:pPr>
        <w:spacing w:line="60" w:lineRule="atLeast"/>
        <w:rPr>
          <w:rFonts w:ascii="ＭＳ 明朝" w:eastAsia="ＭＳ 明朝" w:hAnsi="ＭＳ 明朝" w:cs="ＭＳ 明朝"/>
          <w:color w:val="000000"/>
        </w:rPr>
      </w:pPr>
      <w:bookmarkStart w:id="1" w:name="last"/>
      <w:bookmarkEnd w:id="1"/>
    </w:p>
    <w:sectPr w:rsidR="00000000">
      <w:pgSz w:w="11905" w:h="16837"/>
      <w:pgMar w:top="1303" w:right="1303" w:bottom="1303" w:left="1587" w:header="720" w:footer="720" w:gutter="0"/>
      <w:cols w:space="720"/>
      <w:noEndnote/>
      <w:docGrid w:type="linesAndChars" w:linePitch="3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F5"/>
    <w:rsid w:val="001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4138EB-A9CC-47BA-948A-77128E7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日出樹_公共施設マネジメント課</dc:creator>
  <cp:keywords/>
  <dc:description/>
  <cp:lastModifiedBy>東　日出樹_公共施設マネジメント課</cp:lastModifiedBy>
  <cp:revision>2</cp:revision>
  <dcterms:created xsi:type="dcterms:W3CDTF">2022-02-10T08:59:00Z</dcterms:created>
  <dcterms:modified xsi:type="dcterms:W3CDTF">2022-02-10T08:59:00Z</dcterms:modified>
</cp:coreProperties>
</file>